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ayout w:type="fixed"/>
        <w:tblLook w:val="0000" w:firstRow="0" w:lastRow="0" w:firstColumn="0" w:lastColumn="0" w:noHBand="0" w:noVBand="0"/>
      </w:tblPr>
      <w:tblGrid>
        <w:gridCol w:w="959"/>
        <w:gridCol w:w="1276"/>
        <w:gridCol w:w="5386"/>
        <w:gridCol w:w="1418"/>
      </w:tblGrid>
      <w:tr w:rsidR="001720ED" w:rsidTr="001720ED">
        <w:tc>
          <w:tcPr>
            <w:tcW w:w="959" w:type="dxa"/>
          </w:tcPr>
          <w:p w:rsidR="001720ED" w:rsidRDefault="001720ED" w:rsidP="003E07AA">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lang w:val="en-US"/>
              </w:rPr>
            </w:pPr>
          </w:p>
        </w:tc>
        <w:tc>
          <w:tcPr>
            <w:tcW w:w="6662" w:type="dxa"/>
            <w:gridSpan w:val="2"/>
          </w:tcPr>
          <w:p w:rsidR="001720ED" w:rsidRPr="00017972" w:rsidRDefault="001720ED" w:rsidP="003E07AA">
            <w:pPr>
              <w:tabs>
                <w:tab w:val="center" w:pos="3514"/>
              </w:tabs>
              <w:suppressAutoHyphens/>
              <w:spacing w:after="120"/>
              <w:jc w:val="center"/>
              <w:rPr>
                <w:rFonts w:ascii="Arial Mäori" w:hAnsi="Arial Mäori" w:cs="Arial Mäori"/>
                <w:b/>
                <w:spacing w:val="-3"/>
                <w:sz w:val="24"/>
                <w:u w:val="single"/>
                <w:lang w:val="en-US"/>
              </w:rPr>
            </w:pPr>
            <w:r w:rsidRPr="00017972">
              <w:rPr>
                <w:rFonts w:ascii="Arial Mäori" w:hAnsi="Arial Mäori" w:cs="Arial Mäori"/>
                <w:b/>
                <w:spacing w:val="-3"/>
                <w:sz w:val="24"/>
                <w:u w:val="single"/>
                <w:lang w:val="en-US"/>
              </w:rPr>
              <w:t>CANON XVII</w:t>
            </w:r>
          </w:p>
          <w:p w:rsidR="001720ED" w:rsidRPr="00017972" w:rsidRDefault="001720ED" w:rsidP="003E07AA">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spacing w:val="-3"/>
                <w:sz w:val="24"/>
                <w:lang w:val="en-US"/>
              </w:rPr>
            </w:pPr>
            <w:r w:rsidRPr="00017972">
              <w:rPr>
                <w:rFonts w:ascii="Arial Mäori" w:hAnsi="Arial Mäori" w:cs="Arial Mäori"/>
                <w:b/>
                <w:spacing w:val="-3"/>
                <w:sz w:val="24"/>
                <w:u w:val="single"/>
                <w:lang w:val="en-US"/>
              </w:rPr>
              <w:t>OF THE COMMISSION ON DOCTRINE</w:t>
            </w:r>
          </w:p>
          <w:p w:rsidR="001720ED" w:rsidRDefault="001720ED" w:rsidP="003E07AA">
            <w:pPr>
              <w:tabs>
                <w:tab w:val="center" w:pos="3514"/>
              </w:tabs>
              <w:suppressAutoHyphens/>
              <w:jc w:val="center"/>
              <w:rPr>
                <w:rFonts w:ascii="Arial Mäori" w:hAnsi="Arial Mäori" w:cs="Arial Mäori"/>
                <w:spacing w:val="-3"/>
                <w:sz w:val="24"/>
                <w:u w:val="single"/>
                <w:lang w:val="en-US"/>
              </w:rPr>
            </w:pPr>
          </w:p>
        </w:tc>
        <w:tc>
          <w:tcPr>
            <w:tcW w:w="1418" w:type="dxa"/>
          </w:tcPr>
          <w:p w:rsidR="001720ED" w:rsidRDefault="001720ED" w:rsidP="003E07AA">
            <w:pPr>
              <w:spacing w:before="120"/>
              <w:rPr>
                <w:rFonts w:ascii="Arial Mäori" w:hAnsi="Arial Mäori" w:cs="Arial Mäori"/>
                <w:i/>
                <w:sz w:val="18"/>
              </w:rPr>
            </w:pPr>
            <w:r>
              <w:rPr>
                <w:rFonts w:ascii="Arial Mäori" w:hAnsi="Arial Mäori" w:cs="Arial Mäori"/>
                <w:i/>
                <w:sz w:val="18"/>
              </w:rPr>
              <w:t>1992</w:t>
            </w:r>
          </w:p>
        </w:tc>
      </w:tr>
      <w:tr w:rsidR="001720ED" w:rsidTr="001720ED">
        <w:tc>
          <w:tcPr>
            <w:tcW w:w="2235" w:type="dxa"/>
            <w:gridSpan w:val="2"/>
          </w:tcPr>
          <w:p w:rsidR="001720ED" w:rsidRDefault="001720ED" w:rsidP="003E07AA">
            <w:pPr>
              <w:spacing w:before="120"/>
              <w:rPr>
                <w:rFonts w:ascii="Arial Mäori" w:hAnsi="Arial Mäori" w:cs="Arial Mäori"/>
                <w:spacing w:val="-3"/>
                <w:sz w:val="22"/>
                <w:lang w:val="en-US"/>
              </w:rPr>
            </w:pPr>
            <w:r>
              <w:rPr>
                <w:rFonts w:ascii="Arial Mäori" w:hAnsi="Arial Mäori" w:cs="Arial Mäori"/>
                <w:spacing w:val="-3"/>
                <w:sz w:val="22"/>
                <w:lang w:val="en-US"/>
              </w:rPr>
              <w:t>Repealed 2000</w:t>
            </w:r>
          </w:p>
          <w:p w:rsidR="001720ED" w:rsidRDefault="001720ED" w:rsidP="003E07AA">
            <w:pPr>
              <w:spacing w:before="120"/>
              <w:rPr>
                <w:rFonts w:ascii="Arial Mäori" w:hAnsi="Arial Mäori" w:cs="Arial Mäori"/>
                <w:b/>
                <w:sz w:val="22"/>
                <w:u w:val="single"/>
              </w:rPr>
            </w:pPr>
          </w:p>
        </w:tc>
        <w:tc>
          <w:tcPr>
            <w:tcW w:w="5386" w:type="dxa"/>
          </w:tcPr>
          <w:p w:rsidR="001720ED" w:rsidRDefault="001720ED" w:rsidP="003E07AA">
            <w:pPr>
              <w:tabs>
                <w:tab w:val="center" w:pos="3514"/>
              </w:tabs>
              <w:suppressAutoHyphens/>
              <w:jc w:val="center"/>
              <w:rPr>
                <w:rFonts w:ascii="Arial Mäori" w:hAnsi="Arial Mäori" w:cs="Arial Mäori"/>
                <w:spacing w:val="-3"/>
                <w:u w:val="single"/>
                <w:lang w:val="en-US"/>
              </w:rPr>
            </w:pPr>
          </w:p>
        </w:tc>
        <w:tc>
          <w:tcPr>
            <w:tcW w:w="1418" w:type="dxa"/>
          </w:tcPr>
          <w:p w:rsidR="001720ED" w:rsidRDefault="001720ED" w:rsidP="003E07AA">
            <w:pPr>
              <w:spacing w:before="120"/>
              <w:rPr>
                <w:rFonts w:ascii="Arial Mäori" w:hAnsi="Arial Mäori" w:cs="Arial Mäori"/>
                <w:i/>
                <w:sz w:val="18"/>
              </w:rPr>
            </w:pPr>
          </w:p>
        </w:tc>
      </w:tr>
    </w:tbl>
    <w:p w:rsidR="001720ED" w:rsidRDefault="001720ED" w:rsidP="001720ED">
      <w:pPr>
        <w:rPr>
          <w:rFonts w:ascii="Arial Mäori" w:hAnsi="Arial Mäori" w:cs="Arial Mäori"/>
        </w:rPr>
      </w:pPr>
    </w:p>
    <w:tbl>
      <w:tblPr>
        <w:tblW w:w="9039" w:type="dxa"/>
        <w:tblLayout w:type="fixed"/>
        <w:tblLook w:val="0000" w:firstRow="0" w:lastRow="0" w:firstColumn="0" w:lastColumn="0" w:noHBand="0" w:noVBand="0"/>
      </w:tblPr>
      <w:tblGrid>
        <w:gridCol w:w="959"/>
        <w:gridCol w:w="6662"/>
        <w:gridCol w:w="1418"/>
      </w:tblGrid>
      <w:tr w:rsidR="001720ED" w:rsidTr="003E07AA">
        <w:tc>
          <w:tcPr>
            <w:tcW w:w="959" w:type="dxa"/>
          </w:tcPr>
          <w:p w:rsidR="001720ED" w:rsidRDefault="001720ED" w:rsidP="003E07AA">
            <w:pPr>
              <w:spacing w:before="120"/>
              <w:rPr>
                <w:rFonts w:ascii="Arial Mäori" w:hAnsi="Arial Mäori" w:cs="Arial Mäori"/>
                <w:spacing w:val="-3"/>
                <w:sz w:val="22"/>
                <w:lang w:val="en-US"/>
              </w:rPr>
            </w:pPr>
          </w:p>
        </w:tc>
        <w:tc>
          <w:tcPr>
            <w:tcW w:w="6662" w:type="dxa"/>
          </w:tcPr>
          <w:p w:rsidR="001720ED" w:rsidRPr="00017972" w:rsidRDefault="001720ED" w:rsidP="003E07AA">
            <w:pPr>
              <w:tabs>
                <w:tab w:val="center" w:pos="3514"/>
              </w:tabs>
              <w:suppressAutoHyphens/>
              <w:spacing w:after="120"/>
              <w:jc w:val="center"/>
              <w:rPr>
                <w:rFonts w:ascii="Arial Mäori" w:hAnsi="Arial Mäori" w:cs="Arial Mäori"/>
                <w:b/>
                <w:spacing w:val="-3"/>
                <w:sz w:val="24"/>
                <w:u w:val="single"/>
                <w:lang w:val="en-US"/>
              </w:rPr>
            </w:pPr>
            <w:r w:rsidRPr="00017972">
              <w:rPr>
                <w:rFonts w:ascii="Arial Mäori" w:hAnsi="Arial Mäori" w:cs="Arial Mäori"/>
                <w:b/>
                <w:spacing w:val="-3"/>
                <w:sz w:val="24"/>
                <w:u w:val="single"/>
                <w:lang w:val="en-US"/>
              </w:rPr>
              <w:t>CANON XVII</w:t>
            </w:r>
          </w:p>
          <w:p w:rsidR="001720ED" w:rsidRPr="00017972" w:rsidRDefault="001720ED" w:rsidP="003E07AA">
            <w:pPr>
              <w:pStyle w:val="BodyTextIndent"/>
              <w:ind w:left="284"/>
              <w:jc w:val="center"/>
              <w:rPr>
                <w:rFonts w:ascii="Arial Mäori" w:hAnsi="Arial Mäori" w:cs="Arial Mäori"/>
                <w:b/>
                <w:u w:val="single"/>
              </w:rPr>
            </w:pPr>
            <w:r w:rsidRPr="00017972">
              <w:rPr>
                <w:rFonts w:ascii="Arial Mäori" w:hAnsi="Arial Mäori" w:cs="Arial Mäori"/>
                <w:b/>
                <w:u w:val="single"/>
              </w:rPr>
              <w:t xml:space="preserve">OF THE COMMISSION ON DOCTRINE AND </w:t>
            </w:r>
            <w:r w:rsidRPr="00017972">
              <w:rPr>
                <w:rFonts w:ascii="Arial Mäori" w:hAnsi="Arial Mäori" w:cs="Arial Mäori"/>
                <w:b/>
                <w:u w:val="single"/>
              </w:rPr>
              <w:br/>
              <w:t>THEOLOGICAL QUESTIONS</w:t>
            </w:r>
          </w:p>
          <w:p w:rsidR="001720ED" w:rsidRDefault="001720ED" w:rsidP="003E07AA">
            <w:pPr>
              <w:tabs>
                <w:tab w:val="center" w:pos="3514"/>
              </w:tabs>
              <w:suppressAutoHyphens/>
              <w:jc w:val="center"/>
              <w:rPr>
                <w:rFonts w:ascii="Arial Mäori" w:hAnsi="Arial Mäori" w:cs="Arial Mäori"/>
                <w:spacing w:val="-3"/>
                <w:sz w:val="24"/>
                <w:u w:val="single"/>
                <w:lang w:val="en-US"/>
              </w:rPr>
            </w:pPr>
          </w:p>
        </w:tc>
        <w:tc>
          <w:tcPr>
            <w:tcW w:w="1418" w:type="dxa"/>
          </w:tcPr>
          <w:p w:rsidR="001720ED" w:rsidRDefault="001720ED" w:rsidP="003E07AA">
            <w:pPr>
              <w:spacing w:before="120"/>
              <w:rPr>
                <w:rFonts w:ascii="Arial Mäori" w:hAnsi="Arial Mäori" w:cs="Arial Mäori"/>
                <w:i/>
                <w:sz w:val="18"/>
              </w:rPr>
            </w:pPr>
            <w:r>
              <w:rPr>
                <w:rFonts w:ascii="Arial Mäori" w:hAnsi="Arial Mäori" w:cs="Arial Mäori"/>
                <w:i/>
                <w:sz w:val="18"/>
              </w:rPr>
              <w:t>2000</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1.</w:t>
            </w:r>
          </w:p>
        </w:tc>
        <w:tc>
          <w:tcPr>
            <w:tcW w:w="6662" w:type="dxa"/>
          </w:tcPr>
          <w:p w:rsidR="001720ED" w:rsidRDefault="001720ED" w:rsidP="003E07AA">
            <w:pPr>
              <w:tabs>
                <w:tab w:val="center" w:pos="3514"/>
              </w:tabs>
              <w:suppressAutoHyphens/>
              <w:spacing w:after="120"/>
              <w:jc w:val="both"/>
              <w:rPr>
                <w:rFonts w:ascii="Arial Mäori" w:hAnsi="Arial Mäori" w:cs="Arial Mäori"/>
                <w:spacing w:val="-3"/>
                <w:sz w:val="22"/>
                <w:lang w:val="en-US"/>
              </w:rPr>
            </w:pPr>
            <w:r>
              <w:rPr>
                <w:rFonts w:ascii="Arial Mäori" w:hAnsi="Arial Mäori" w:cs="Arial Mäori"/>
                <w:sz w:val="22"/>
              </w:rPr>
              <w:t xml:space="preserve">A Commission on Doctrine and Theological Questions shall be convened by the General Secretary on receiving a request, from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or from the Standing Committee of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or from the Primate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w:t>
            </w:r>
            <w:proofErr w:type="spellEnd"/>
            <w:r>
              <w:rPr>
                <w:rFonts w:ascii="Arial Mäori" w:hAnsi="Arial Mäori" w:cs="Arial Mäori"/>
                <w:sz w:val="22"/>
              </w:rPr>
              <w:t xml:space="preserve"> </w:t>
            </w:r>
            <w:proofErr w:type="spellStart"/>
            <w:r>
              <w:rPr>
                <w:rFonts w:ascii="Arial Mäori" w:hAnsi="Arial Mäori" w:cs="Arial Mäori"/>
                <w:sz w:val="22"/>
              </w:rPr>
              <w:t>Mātāmua</w:t>
            </w:r>
            <w:proofErr w:type="spellEnd"/>
            <w:r>
              <w:rPr>
                <w:rFonts w:ascii="Arial Mäori" w:hAnsi="Arial Mäori" w:cs="Arial Mäori"/>
                <w:sz w:val="22"/>
              </w:rPr>
              <w:t xml:space="preserve"> and Co-Presiding </w:t>
            </w:r>
            <w:proofErr w:type="spellStart"/>
            <w:r>
              <w:rPr>
                <w:rFonts w:ascii="Arial Mäori" w:hAnsi="Arial Mäori" w:cs="Arial Mäori"/>
                <w:sz w:val="22"/>
              </w:rPr>
              <w:t>Bishops</w:t>
            </w:r>
            <w:proofErr w:type="spellEnd"/>
            <w:r>
              <w:rPr>
                <w:rFonts w:ascii="Arial Mäori" w:hAnsi="Arial Mäori" w:cs="Arial Mäori"/>
                <w:sz w:val="22"/>
              </w:rPr>
              <w:t xml:space="preserve"> / </w:t>
            </w:r>
            <w:proofErr w:type="spellStart"/>
            <w:r>
              <w:rPr>
                <w:rFonts w:ascii="Arial Mäori" w:hAnsi="Arial Mäori" w:cs="Arial Mäori"/>
                <w:sz w:val="22"/>
              </w:rPr>
              <w:t>nga</w:t>
            </w:r>
            <w:proofErr w:type="spellEnd"/>
            <w:r>
              <w:rPr>
                <w:rFonts w:ascii="Arial Mäori" w:hAnsi="Arial Mäori" w:cs="Arial Mäori"/>
                <w:sz w:val="22"/>
              </w:rPr>
              <w:t xml:space="preserve"> </w:t>
            </w:r>
            <w:proofErr w:type="spellStart"/>
            <w:r>
              <w:rPr>
                <w:rFonts w:ascii="Arial Mäori" w:hAnsi="Arial Mäori" w:cs="Arial Mäori"/>
                <w:sz w:val="22"/>
              </w:rPr>
              <w:t>Pīhopa</w:t>
            </w:r>
            <w:proofErr w:type="spellEnd"/>
            <w:r>
              <w:rPr>
                <w:rFonts w:ascii="Arial Mäori" w:hAnsi="Arial Mäori" w:cs="Arial Mäori"/>
                <w:sz w:val="22"/>
              </w:rPr>
              <w:t xml:space="preserve"> </w:t>
            </w:r>
            <w:proofErr w:type="spellStart"/>
            <w:r>
              <w:rPr>
                <w:rFonts w:ascii="Arial Mäori" w:hAnsi="Arial Mäori" w:cs="Arial Mäori"/>
                <w:sz w:val="22"/>
              </w:rPr>
              <w:t>Aporei</w:t>
            </w:r>
            <w:proofErr w:type="spellEnd"/>
            <w:r>
              <w:rPr>
                <w:rFonts w:ascii="Arial Mäori" w:hAnsi="Arial Mäori" w:cs="Arial Mäori"/>
                <w:sz w:val="22"/>
              </w:rPr>
              <w:t>, that a Commission meet to consider a particular doctrinal or theological question or questions.</w:t>
            </w:r>
          </w:p>
        </w:tc>
        <w:tc>
          <w:tcPr>
            <w:tcW w:w="1418" w:type="dxa"/>
          </w:tcPr>
          <w:p w:rsidR="001720ED" w:rsidRDefault="001720ED" w:rsidP="003E07AA">
            <w:pPr>
              <w:pStyle w:val="Heading1"/>
              <w:jc w:val="left"/>
              <w:rPr>
                <w:rFonts w:cs="Arial Mäori"/>
                <w:b w:val="0"/>
                <w:bCs/>
                <w:i/>
                <w:iCs/>
                <w:sz w:val="18"/>
                <w:u w:val="none"/>
              </w:rPr>
            </w:pPr>
            <w:r>
              <w:rPr>
                <w:rFonts w:cs="Arial Mäori"/>
                <w:b w:val="0"/>
                <w:bCs/>
                <w:i/>
                <w:iCs/>
                <w:sz w:val="18"/>
                <w:u w:val="none"/>
              </w:rPr>
              <w:t>Convened</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2.1</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 xml:space="preserve">Upon receiving a request for the convening of a Commission under the provisions of Clause 1 of this Canon the General Secretary shall request Te </w:t>
            </w:r>
            <w:proofErr w:type="spellStart"/>
            <w:r>
              <w:rPr>
                <w:rFonts w:ascii="Arial Mäori" w:hAnsi="Arial Mäori" w:cs="Arial Mäori"/>
                <w:sz w:val="22"/>
              </w:rPr>
              <w:t>Runanga</w:t>
            </w:r>
            <w:proofErr w:type="spellEnd"/>
            <w:r>
              <w:rPr>
                <w:rFonts w:ascii="Arial Mäori" w:hAnsi="Arial Mäori" w:cs="Arial Mäori"/>
                <w:sz w:val="22"/>
              </w:rPr>
              <w:t xml:space="preserve"> </w:t>
            </w:r>
            <w:proofErr w:type="spellStart"/>
            <w:r>
              <w:rPr>
                <w:rFonts w:ascii="Arial Mäori" w:hAnsi="Arial Mäori" w:cs="Arial Mäori"/>
                <w:sz w:val="22"/>
              </w:rPr>
              <w:t>Wh</w:t>
            </w:r>
            <w:r>
              <w:rPr>
                <w:rFonts w:ascii="Arial" w:hAnsi="Arial" w:cs="Arial"/>
                <w:sz w:val="22"/>
              </w:rPr>
              <w:t>ā</w:t>
            </w:r>
            <w:r>
              <w:rPr>
                <w:rFonts w:ascii="Arial Mäori" w:hAnsi="Arial Mäori" w:cs="Arial Mäori"/>
                <w:sz w:val="22"/>
              </w:rPr>
              <w:t>iti</w:t>
            </w:r>
            <w:proofErr w:type="spellEnd"/>
            <w:r>
              <w:rPr>
                <w:rFonts w:ascii="Arial Mäori" w:hAnsi="Arial Mäori" w:cs="Arial Mäori"/>
                <w:sz w:val="22"/>
              </w:rPr>
              <w:t xml:space="preserve"> o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the Inter-Diocesan Conference Co-ordinating Group and the Standing Committee of the Diocese of Polynesia each to appoint three members to constitute such a Commission.</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Appoint</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2.2</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If the nine members appointed under the provisions of Clause 2.1 of this Canon do not include a bishop, the General Secretary shall request the bishops of this Church to appoint a bishop to be a member of the Commission with power to appoint an alternate if that bishop is unable to take part in a meeting of the Commission.</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Bishop to be member 2002</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3.</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Such a Commission shall not meet until all its members have been appointed.</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Members appointed</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4.1</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Such a Commission may meet in person or by using electronic or other means of communication.</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Communicate</w:t>
            </w:r>
          </w:p>
        </w:tc>
      </w:tr>
      <w:tr w:rsidR="0074117B" w:rsidTr="003E07AA">
        <w:tc>
          <w:tcPr>
            <w:tcW w:w="959" w:type="dxa"/>
          </w:tcPr>
          <w:p w:rsidR="0074117B" w:rsidRDefault="0074117B" w:rsidP="003E07AA">
            <w:pPr>
              <w:spacing w:after="120"/>
              <w:rPr>
                <w:rFonts w:ascii="Arial Mäori" w:hAnsi="Arial Mäori" w:cs="Arial Mäori"/>
                <w:spacing w:val="-3"/>
                <w:sz w:val="22"/>
                <w:lang w:val="en-US"/>
              </w:rPr>
            </w:pPr>
            <w:r>
              <w:rPr>
                <w:rFonts w:ascii="Arial Mäori" w:hAnsi="Arial Mäori" w:cs="Arial Mäori"/>
                <w:spacing w:val="-3"/>
                <w:sz w:val="22"/>
                <w:lang w:val="en-US"/>
              </w:rPr>
              <w:t>4.2</w:t>
            </w:r>
          </w:p>
        </w:tc>
        <w:tc>
          <w:tcPr>
            <w:tcW w:w="6662" w:type="dxa"/>
          </w:tcPr>
          <w:p w:rsidR="0074117B" w:rsidRDefault="0074117B"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If a member of the Commission Is unable to be present for a particular meeting</w:t>
            </w:r>
          </w:p>
        </w:tc>
        <w:tc>
          <w:tcPr>
            <w:tcW w:w="1418" w:type="dxa"/>
          </w:tcPr>
          <w:p w:rsidR="0074117B" w:rsidRDefault="0074117B" w:rsidP="003E07AA">
            <w:pPr>
              <w:spacing w:after="120"/>
              <w:rPr>
                <w:rFonts w:ascii="Arial Mäori" w:hAnsi="Arial Mäori" w:cs="Arial Mäori"/>
                <w:i/>
                <w:sz w:val="18"/>
              </w:rPr>
            </w:pPr>
            <w:r>
              <w:rPr>
                <w:rFonts w:ascii="Arial Mäori" w:hAnsi="Arial Mäori" w:cs="Arial Mäori"/>
                <w:i/>
                <w:sz w:val="18"/>
              </w:rPr>
              <w:t>2006</w:t>
            </w:r>
          </w:p>
        </w:tc>
      </w:tr>
      <w:tr w:rsidR="0074117B" w:rsidTr="003E07AA">
        <w:tc>
          <w:tcPr>
            <w:tcW w:w="959" w:type="dxa"/>
          </w:tcPr>
          <w:p w:rsidR="0074117B" w:rsidRDefault="0074117B" w:rsidP="003E07AA">
            <w:pPr>
              <w:spacing w:after="120"/>
              <w:rPr>
                <w:rFonts w:ascii="Arial Mäori" w:hAnsi="Arial Mäori" w:cs="Arial Mäori"/>
                <w:spacing w:val="-3"/>
                <w:sz w:val="22"/>
                <w:lang w:val="en-US"/>
              </w:rPr>
            </w:pPr>
          </w:p>
        </w:tc>
        <w:tc>
          <w:tcPr>
            <w:tcW w:w="6662" w:type="dxa"/>
          </w:tcPr>
          <w:p w:rsidR="0074117B" w:rsidRDefault="0074117B" w:rsidP="002C18D1">
            <w:pPr>
              <w:numPr>
                <w:ilvl w:val="2"/>
                <w:numId w:val="1"/>
              </w:numPr>
              <w:tabs>
                <w:tab w:val="clear" w:pos="2160"/>
              </w:tabs>
              <w:spacing w:before="60" w:after="60"/>
              <w:ind w:left="776" w:hanging="776"/>
              <w:jc w:val="both"/>
              <w:rPr>
                <w:rFonts w:ascii="Arial Mäori" w:hAnsi="Arial Mäori" w:cs="Arial Mäori"/>
                <w:sz w:val="22"/>
              </w:rPr>
            </w:pPr>
            <w:r>
              <w:rPr>
                <w:rFonts w:ascii="Arial Mäori" w:hAnsi="Arial Mäori" w:cs="Arial Mäori"/>
                <w:color w:val="000000"/>
                <w:sz w:val="22"/>
              </w:rPr>
              <w:t>the member may appoint any person as an alternate to attend, speak and vote at that meeting.</w:t>
            </w:r>
          </w:p>
        </w:tc>
        <w:tc>
          <w:tcPr>
            <w:tcW w:w="1418" w:type="dxa"/>
          </w:tcPr>
          <w:p w:rsidR="0074117B" w:rsidRDefault="0074117B" w:rsidP="003E07AA">
            <w:pPr>
              <w:spacing w:after="120"/>
              <w:rPr>
                <w:rFonts w:ascii="Arial Mäori" w:hAnsi="Arial Mäori" w:cs="Arial Mäori"/>
                <w:i/>
                <w:sz w:val="18"/>
              </w:rPr>
            </w:pPr>
          </w:p>
        </w:tc>
      </w:tr>
      <w:tr w:rsidR="0074117B" w:rsidTr="003E07AA">
        <w:tc>
          <w:tcPr>
            <w:tcW w:w="959" w:type="dxa"/>
          </w:tcPr>
          <w:p w:rsidR="0074117B" w:rsidRDefault="0074117B" w:rsidP="003E07AA">
            <w:pPr>
              <w:spacing w:after="120"/>
              <w:rPr>
                <w:rFonts w:ascii="Arial Mäori" w:hAnsi="Arial Mäori" w:cs="Arial Mäori"/>
                <w:spacing w:val="-3"/>
                <w:sz w:val="22"/>
                <w:lang w:val="en-US"/>
              </w:rPr>
            </w:pPr>
          </w:p>
        </w:tc>
        <w:tc>
          <w:tcPr>
            <w:tcW w:w="6662" w:type="dxa"/>
          </w:tcPr>
          <w:p w:rsidR="0074117B" w:rsidRDefault="0074117B" w:rsidP="002C18D1">
            <w:pPr>
              <w:spacing w:before="60" w:after="60"/>
              <w:ind w:left="776" w:hanging="776"/>
              <w:jc w:val="both"/>
              <w:rPr>
                <w:rFonts w:ascii="Arial Mäori" w:hAnsi="Arial Mäori" w:cs="Arial Mäori"/>
                <w:color w:val="000000"/>
                <w:sz w:val="22"/>
              </w:rPr>
            </w:pPr>
            <w:r>
              <w:rPr>
                <w:rFonts w:ascii="Arial Mäori" w:hAnsi="Arial Mäori" w:cs="Arial Mäori"/>
                <w:color w:val="000000"/>
                <w:sz w:val="22"/>
              </w:rPr>
              <w:t>4.2.2</w:t>
            </w:r>
            <w:r>
              <w:rPr>
                <w:rFonts w:ascii="Arial Mäori" w:hAnsi="Arial Mäori" w:cs="Arial Mäori"/>
                <w:color w:val="000000"/>
                <w:sz w:val="22"/>
              </w:rPr>
              <w:tab/>
              <w:t xml:space="preserve">the appointment must be made in consultation with the Senior Bishop / Te </w:t>
            </w:r>
            <w:proofErr w:type="spellStart"/>
            <w:r>
              <w:rPr>
                <w:rFonts w:ascii="Arial Mäori" w:hAnsi="Arial Mäori" w:cs="Arial Mäori"/>
                <w:sz w:val="22"/>
              </w:rPr>
              <w:t>Pīhopa</w:t>
            </w:r>
            <w:proofErr w:type="spellEnd"/>
            <w:r>
              <w:rPr>
                <w:rFonts w:ascii="Arial Mäori" w:hAnsi="Arial Mäori" w:cs="Arial Mäori"/>
                <w:color w:val="000000"/>
                <w:sz w:val="22"/>
              </w:rPr>
              <w:t xml:space="preserve"> </w:t>
            </w:r>
            <w:proofErr w:type="spellStart"/>
            <w:r>
              <w:rPr>
                <w:rFonts w:ascii="Arial Mäori" w:hAnsi="Arial Mäori" w:cs="Arial Mäori"/>
                <w:color w:val="000000"/>
                <w:sz w:val="22"/>
              </w:rPr>
              <w:t>Aporei</w:t>
            </w:r>
            <w:proofErr w:type="spellEnd"/>
            <w:r>
              <w:rPr>
                <w:rFonts w:ascii="Arial Mäori" w:hAnsi="Arial Mäori" w:cs="Arial Mäori"/>
                <w:color w:val="000000"/>
                <w:sz w:val="22"/>
              </w:rPr>
              <w:t xml:space="preserve"> of the </w:t>
            </w:r>
            <w:proofErr w:type="spellStart"/>
            <w:r>
              <w:rPr>
                <w:rFonts w:ascii="Arial Mäori" w:hAnsi="Arial Mäori" w:cs="Arial Mäori"/>
                <w:color w:val="000000"/>
                <w:sz w:val="22"/>
              </w:rPr>
              <w:t>Tikanga</w:t>
            </w:r>
            <w:proofErr w:type="spellEnd"/>
            <w:r>
              <w:rPr>
                <w:rFonts w:ascii="Arial Mäori" w:hAnsi="Arial Mäori" w:cs="Arial Mäori"/>
                <w:color w:val="000000"/>
                <w:sz w:val="22"/>
              </w:rPr>
              <w:t xml:space="preserve"> by which the member is appointed.</w:t>
            </w:r>
          </w:p>
        </w:tc>
        <w:tc>
          <w:tcPr>
            <w:tcW w:w="1418" w:type="dxa"/>
          </w:tcPr>
          <w:p w:rsidR="0074117B" w:rsidRDefault="0074117B" w:rsidP="003E07AA">
            <w:pPr>
              <w:spacing w:after="120"/>
              <w:rPr>
                <w:rFonts w:ascii="Arial Mäori" w:hAnsi="Arial Mäori" w:cs="Arial Mäori"/>
                <w:i/>
                <w:sz w:val="18"/>
              </w:rPr>
            </w:pP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p>
        </w:tc>
        <w:tc>
          <w:tcPr>
            <w:tcW w:w="6662" w:type="dxa"/>
          </w:tcPr>
          <w:p w:rsidR="001720ED" w:rsidRDefault="0074117B" w:rsidP="002C18D1">
            <w:pPr>
              <w:spacing w:before="60" w:after="60"/>
              <w:ind w:left="776" w:hanging="776"/>
              <w:jc w:val="both"/>
              <w:rPr>
                <w:rFonts w:ascii="Arial Mäori" w:hAnsi="Arial Mäori" w:cs="Arial Mäori"/>
                <w:sz w:val="22"/>
              </w:rPr>
            </w:pPr>
            <w:r>
              <w:rPr>
                <w:rFonts w:ascii="Arial Mäori" w:hAnsi="Arial Mäori" w:cs="Arial Mäori"/>
                <w:color w:val="000000"/>
                <w:sz w:val="22"/>
              </w:rPr>
              <w:t>4.2.3</w:t>
            </w:r>
            <w:r>
              <w:rPr>
                <w:rFonts w:ascii="Arial Mäori" w:hAnsi="Arial Mäori" w:cs="Arial Mäori"/>
                <w:color w:val="000000"/>
                <w:sz w:val="22"/>
              </w:rPr>
              <w:tab/>
            </w:r>
            <w:r w:rsidR="001720ED">
              <w:rPr>
                <w:rFonts w:ascii="Arial Mäori" w:hAnsi="Arial Mäori" w:cs="Arial Mäori"/>
                <w:color w:val="000000"/>
                <w:sz w:val="22"/>
              </w:rPr>
              <w:t xml:space="preserve">the member and the Senior Bishop / Te </w:t>
            </w:r>
            <w:proofErr w:type="spellStart"/>
            <w:r w:rsidR="001720ED">
              <w:rPr>
                <w:rFonts w:ascii="Arial Mäori" w:hAnsi="Arial Mäori" w:cs="Arial Mäori"/>
                <w:sz w:val="22"/>
              </w:rPr>
              <w:t>Pīhopa</w:t>
            </w:r>
            <w:proofErr w:type="spellEnd"/>
            <w:r w:rsidR="001720ED">
              <w:rPr>
                <w:rFonts w:ascii="Arial Mäori" w:hAnsi="Arial Mäori" w:cs="Arial Mäori"/>
                <w:color w:val="000000"/>
                <w:sz w:val="22"/>
              </w:rPr>
              <w:t xml:space="preserve"> </w:t>
            </w:r>
            <w:proofErr w:type="spellStart"/>
            <w:r w:rsidR="001720ED">
              <w:rPr>
                <w:rFonts w:ascii="Arial Mäori" w:hAnsi="Arial Mäori" w:cs="Arial Mäori"/>
                <w:color w:val="000000"/>
                <w:sz w:val="22"/>
              </w:rPr>
              <w:t>Aporei</w:t>
            </w:r>
            <w:proofErr w:type="spellEnd"/>
            <w:r w:rsidR="001720ED">
              <w:rPr>
                <w:rFonts w:ascii="Arial Mäori" w:hAnsi="Arial Mäori" w:cs="Arial Mäori"/>
                <w:color w:val="000000"/>
                <w:sz w:val="22"/>
              </w:rPr>
              <w:t xml:space="preserve"> must bear in mind (along with other considerations) the need to provide appropriate expertise.</w:t>
            </w:r>
          </w:p>
        </w:tc>
        <w:tc>
          <w:tcPr>
            <w:tcW w:w="1418" w:type="dxa"/>
          </w:tcPr>
          <w:p w:rsidR="001720ED" w:rsidRDefault="001720ED" w:rsidP="003E07AA">
            <w:pPr>
              <w:spacing w:after="120"/>
              <w:rPr>
                <w:rFonts w:ascii="Arial Mäori" w:hAnsi="Arial Mäori" w:cs="Arial Mäori"/>
                <w:i/>
                <w:sz w:val="18"/>
              </w:rPr>
            </w:pPr>
          </w:p>
        </w:tc>
      </w:tr>
    </w:tbl>
    <w:p w:rsidR="0074117B" w:rsidRDefault="0074117B" w:rsidP="003E07AA">
      <w:pPr>
        <w:spacing w:after="120"/>
        <w:rPr>
          <w:rFonts w:ascii="Arial Mäori" w:hAnsi="Arial Mäori" w:cs="Arial Mäori"/>
          <w:spacing w:val="-3"/>
          <w:sz w:val="22"/>
          <w:lang w:val="en-US"/>
        </w:rPr>
        <w:sectPr w:rsidR="0074117B" w:rsidSect="001A627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tbl>
      <w:tblPr>
        <w:tblW w:w="9039" w:type="dxa"/>
        <w:tblLayout w:type="fixed"/>
        <w:tblLook w:val="0000" w:firstRow="0" w:lastRow="0" w:firstColumn="0" w:lastColumn="0" w:noHBand="0" w:noVBand="0"/>
      </w:tblPr>
      <w:tblGrid>
        <w:gridCol w:w="959"/>
        <w:gridCol w:w="6662"/>
        <w:gridCol w:w="1418"/>
      </w:tblGrid>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5.</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The quorum for such a Commission shall be half of the members and shall include at least one member appointed by each of the appointing bodies listed in Clause 2.1 of this Canon who may be an alternate appointed under Clause 4.2. The Commission shall appoint its own officers.</w:t>
            </w:r>
          </w:p>
        </w:tc>
        <w:tc>
          <w:tcPr>
            <w:tcW w:w="1418" w:type="dxa"/>
          </w:tcPr>
          <w:p w:rsidR="001720ED" w:rsidRDefault="001720ED" w:rsidP="003E07AA">
            <w:pPr>
              <w:pStyle w:val="Heading4"/>
              <w:rPr>
                <w:rFonts w:cs="Arial Mäori"/>
                <w:sz w:val="18"/>
              </w:rPr>
            </w:pPr>
            <w:r>
              <w:rPr>
                <w:rFonts w:cs="Arial Mäori"/>
                <w:sz w:val="18"/>
              </w:rPr>
              <w:t>Quorum</w:t>
            </w:r>
          </w:p>
          <w:p w:rsidR="001720ED" w:rsidRDefault="001720ED" w:rsidP="003E07AA">
            <w:pPr>
              <w:pStyle w:val="HTMLAddress"/>
              <w:rPr>
                <w:rFonts w:ascii="Arial Mäori" w:hAnsi="Arial Mäori" w:cs="Arial Mäori"/>
              </w:rPr>
            </w:pPr>
            <w:r>
              <w:rPr>
                <w:rFonts w:ascii="Arial Mäori" w:hAnsi="Arial Mäori" w:cs="Arial Mäori"/>
                <w:sz w:val="18"/>
              </w:rPr>
              <w:t>2006</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6.</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 xml:space="preserve">Any such Commission shall report to the Standing Committee and to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on any question or questions which it has been asked to consider.</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Reporting</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7.</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 xml:space="preserve">The necessary expenses of a Commission shall be met by the Standing Committee from the funds of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at its disposal, but a Commission may not incur any expense without the prior approval of the General Secretary.</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Expenses</w:t>
            </w:r>
          </w:p>
        </w:tc>
      </w:tr>
      <w:tr w:rsidR="001720ED" w:rsidTr="003E07AA">
        <w:tc>
          <w:tcPr>
            <w:tcW w:w="959" w:type="dxa"/>
          </w:tcPr>
          <w:p w:rsidR="001720ED" w:rsidRDefault="001720ED" w:rsidP="003E07AA">
            <w:pPr>
              <w:spacing w:after="120"/>
              <w:rPr>
                <w:rFonts w:ascii="Arial Mäori" w:hAnsi="Arial Mäori" w:cs="Arial Mäori"/>
                <w:spacing w:val="-3"/>
                <w:sz w:val="22"/>
                <w:lang w:val="en-US"/>
              </w:rPr>
            </w:pPr>
            <w:r>
              <w:rPr>
                <w:rFonts w:ascii="Arial Mäori" w:hAnsi="Arial Mäori" w:cs="Arial Mäori"/>
                <w:spacing w:val="-3"/>
                <w:sz w:val="22"/>
                <w:lang w:val="en-US"/>
              </w:rPr>
              <w:t>8.</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 xml:space="preserve">If a Commission has been appointed to consider a question or questions and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or the Standing Committee of General Synod or the Primate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Pīhopa</w:t>
            </w:r>
            <w:proofErr w:type="spellEnd"/>
            <w:r>
              <w:rPr>
                <w:rFonts w:ascii="Arial Mäori" w:hAnsi="Arial Mäori" w:cs="Arial Mäori"/>
                <w:sz w:val="22"/>
              </w:rPr>
              <w:t xml:space="preserve"> </w:t>
            </w:r>
            <w:proofErr w:type="spellStart"/>
            <w:r>
              <w:rPr>
                <w:rFonts w:ascii="Arial Mäori" w:hAnsi="Arial Mäori" w:cs="Arial Mäori"/>
                <w:sz w:val="22"/>
              </w:rPr>
              <w:t>Mātāmua</w:t>
            </w:r>
            <w:proofErr w:type="spellEnd"/>
            <w:r>
              <w:rPr>
                <w:rFonts w:ascii="Arial Mäori" w:hAnsi="Arial Mäori" w:cs="Arial Mäori"/>
                <w:sz w:val="22"/>
              </w:rPr>
              <w:t xml:space="preserve"> and Co-Presiding </w:t>
            </w:r>
            <w:proofErr w:type="spellStart"/>
            <w:r>
              <w:rPr>
                <w:rFonts w:ascii="Arial Mäori" w:hAnsi="Arial Mäori" w:cs="Arial Mäori"/>
                <w:sz w:val="22"/>
              </w:rPr>
              <w:t>Bishops</w:t>
            </w:r>
            <w:proofErr w:type="spellEnd"/>
            <w:r>
              <w:rPr>
                <w:rFonts w:ascii="Arial Mäori" w:hAnsi="Arial Mäori" w:cs="Arial Mäori"/>
                <w:sz w:val="22"/>
              </w:rPr>
              <w:t xml:space="preserve"> / </w:t>
            </w:r>
            <w:proofErr w:type="spellStart"/>
            <w:r>
              <w:rPr>
                <w:rFonts w:ascii="Arial Mäori" w:hAnsi="Arial Mäori" w:cs="Arial Mäori"/>
                <w:sz w:val="22"/>
              </w:rPr>
              <w:t>nga</w:t>
            </w:r>
            <w:proofErr w:type="spellEnd"/>
            <w:r>
              <w:rPr>
                <w:rFonts w:ascii="Arial Mäori" w:hAnsi="Arial Mäori" w:cs="Arial Mäori"/>
                <w:sz w:val="22"/>
              </w:rPr>
              <w:t xml:space="preserve"> </w:t>
            </w:r>
            <w:proofErr w:type="spellStart"/>
            <w:r>
              <w:rPr>
                <w:rFonts w:ascii="Arial Mäori" w:hAnsi="Arial Mäori" w:cs="Arial Mäori"/>
                <w:sz w:val="22"/>
              </w:rPr>
              <w:t>Pīhopa</w:t>
            </w:r>
            <w:proofErr w:type="spellEnd"/>
            <w:r>
              <w:rPr>
                <w:rFonts w:ascii="Arial Mäori" w:hAnsi="Arial Mäori" w:cs="Arial Mäori"/>
                <w:sz w:val="22"/>
              </w:rPr>
              <w:t xml:space="preserve"> </w:t>
            </w:r>
            <w:proofErr w:type="spellStart"/>
            <w:r>
              <w:rPr>
                <w:rFonts w:ascii="Arial Mäori" w:hAnsi="Arial Mäori" w:cs="Arial Mäori"/>
                <w:sz w:val="22"/>
              </w:rPr>
              <w:t>Aporei</w:t>
            </w:r>
            <w:proofErr w:type="spellEnd"/>
            <w:r>
              <w:rPr>
                <w:rFonts w:ascii="Arial Mäori" w:hAnsi="Arial Mäori" w:cs="Arial Mäori"/>
                <w:sz w:val="22"/>
              </w:rPr>
              <w:t xml:space="preserve"> wish the Commission to consider another question or questions each of the appointing bodies shall have the opportunity of reviewing the membership of the Commission appointed by that body before such other question or questions are considered.</w:t>
            </w:r>
          </w:p>
        </w:tc>
        <w:tc>
          <w:tcPr>
            <w:tcW w:w="1418" w:type="dxa"/>
          </w:tcPr>
          <w:p w:rsidR="001720ED" w:rsidRDefault="001720ED" w:rsidP="003E07AA">
            <w:pPr>
              <w:spacing w:after="120"/>
              <w:rPr>
                <w:rFonts w:ascii="Arial Mäori" w:hAnsi="Arial Mäori" w:cs="Arial Mäori"/>
                <w:i/>
                <w:sz w:val="18"/>
              </w:rPr>
            </w:pPr>
            <w:r>
              <w:rPr>
                <w:rFonts w:ascii="Arial Mäori" w:hAnsi="Arial Mäori" w:cs="Arial Mäori"/>
                <w:i/>
                <w:sz w:val="18"/>
              </w:rPr>
              <w:t>Questions</w:t>
            </w:r>
          </w:p>
        </w:tc>
      </w:tr>
      <w:tr w:rsidR="001720ED" w:rsidTr="003E07AA">
        <w:tc>
          <w:tcPr>
            <w:tcW w:w="959" w:type="dxa"/>
          </w:tcPr>
          <w:p w:rsidR="001720ED" w:rsidRDefault="001720ED" w:rsidP="003E07AA">
            <w:pPr>
              <w:rPr>
                <w:rFonts w:ascii="Arial Mäori" w:hAnsi="Arial Mäori" w:cs="Arial Mäori"/>
                <w:spacing w:val="-3"/>
                <w:sz w:val="22"/>
                <w:lang w:val="en-US"/>
              </w:rPr>
            </w:pPr>
            <w:r>
              <w:rPr>
                <w:rFonts w:ascii="Arial Mäori" w:hAnsi="Arial Mäori" w:cs="Arial Mäori"/>
                <w:spacing w:val="-3"/>
                <w:sz w:val="22"/>
                <w:lang w:val="en-US"/>
              </w:rPr>
              <w:t>9.</w:t>
            </w:r>
          </w:p>
        </w:tc>
        <w:tc>
          <w:tcPr>
            <w:tcW w:w="6662" w:type="dxa"/>
          </w:tcPr>
          <w:p w:rsidR="001720ED" w:rsidRDefault="001720ED" w:rsidP="003E07AA">
            <w:pPr>
              <w:tabs>
                <w:tab w:val="center" w:pos="3514"/>
              </w:tabs>
              <w:suppressAutoHyphens/>
              <w:spacing w:after="120"/>
              <w:jc w:val="both"/>
              <w:rPr>
                <w:rFonts w:ascii="Arial Mäori" w:hAnsi="Arial Mäori" w:cs="Arial Mäori"/>
                <w:sz w:val="22"/>
              </w:rPr>
            </w:pPr>
            <w:r>
              <w:rPr>
                <w:rFonts w:ascii="Arial Mäori" w:hAnsi="Arial Mäori" w:cs="Arial Mäori"/>
                <w:sz w:val="22"/>
              </w:rPr>
              <w:t>Such a</w:t>
            </w:r>
            <w:r>
              <w:rPr>
                <w:rFonts w:ascii="Arial Mäori" w:hAnsi="Arial Mäori" w:cs="Arial Mäori"/>
                <w:b/>
                <w:sz w:val="22"/>
              </w:rPr>
              <w:t xml:space="preserve"> </w:t>
            </w:r>
            <w:r>
              <w:rPr>
                <w:rFonts w:ascii="Arial Mäori" w:hAnsi="Arial Mäori" w:cs="Arial Mäori"/>
                <w:sz w:val="22"/>
              </w:rPr>
              <w:t>Commission shall cease to exist when it has</w:t>
            </w:r>
            <w:r>
              <w:rPr>
                <w:rFonts w:ascii="Arial Mäori" w:hAnsi="Arial Mäori" w:cs="Arial Mäori"/>
                <w:b/>
                <w:sz w:val="22"/>
              </w:rPr>
              <w:t xml:space="preserve"> </w:t>
            </w:r>
            <w:r>
              <w:rPr>
                <w:rFonts w:ascii="Arial Mäori" w:hAnsi="Arial Mäori" w:cs="Arial Mäori"/>
                <w:sz w:val="22"/>
              </w:rPr>
              <w:t>concluded its deliberations and submitted its report to the</w:t>
            </w:r>
            <w:r>
              <w:rPr>
                <w:rFonts w:ascii="Arial Mäori" w:hAnsi="Arial Mäori" w:cs="Arial Mäori"/>
                <w:b/>
                <w:sz w:val="22"/>
              </w:rPr>
              <w:t xml:space="preserve"> </w:t>
            </w:r>
            <w:r>
              <w:rPr>
                <w:rFonts w:ascii="Arial Mäori" w:hAnsi="Arial Mäori" w:cs="Arial Mäori"/>
                <w:sz w:val="22"/>
              </w:rPr>
              <w:t xml:space="preserve">General Secretary for presentation to the Standing Committee and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w:t>
            </w:r>
          </w:p>
        </w:tc>
        <w:tc>
          <w:tcPr>
            <w:tcW w:w="1418" w:type="dxa"/>
          </w:tcPr>
          <w:p w:rsidR="001720ED" w:rsidRDefault="001720ED" w:rsidP="003E07AA">
            <w:pPr>
              <w:pStyle w:val="HTMLAddress"/>
              <w:rPr>
                <w:rFonts w:ascii="Arial Mäori" w:hAnsi="Arial Mäori" w:cs="Arial Mäori"/>
                <w:sz w:val="18"/>
              </w:rPr>
            </w:pPr>
            <w:r>
              <w:rPr>
                <w:rFonts w:ascii="Arial Mäori" w:hAnsi="Arial Mäori" w:cs="Arial Mäori"/>
                <w:sz w:val="18"/>
              </w:rPr>
              <w:t>Cease to exist</w:t>
            </w:r>
          </w:p>
        </w:tc>
      </w:tr>
    </w:tbl>
    <w:p w:rsidR="004A7636" w:rsidRDefault="004A7636"/>
    <w:sectPr w:rsidR="004A7636" w:rsidSect="0074117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F93" w:rsidRDefault="00BB1F93" w:rsidP="001720ED">
      <w:r>
        <w:separator/>
      </w:r>
    </w:p>
  </w:endnote>
  <w:endnote w:type="continuationSeparator" w:id="0">
    <w:p w:rsidR="00BB1F93" w:rsidRDefault="00BB1F93" w:rsidP="0017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DA" w:rsidRDefault="00DE50DA">
    <w:pPr>
      <w:pStyle w:val="Footer"/>
      <w:tabs>
        <w:tab w:val="clear" w:pos="8306"/>
        <w:tab w:val="right" w:pos="8931"/>
      </w:tabs>
      <w:ind w:right="-619"/>
      <w:rPr>
        <w:lang w:val="en-US"/>
      </w:rPr>
    </w:pPr>
    <w:r>
      <w:rPr>
        <w:lang w:val="en-US"/>
      </w:rPr>
      <w:tab/>
      <w:t>- B.4</w:t>
    </w:r>
    <w:r w:rsidR="00B23D53">
      <w:rPr>
        <w:lang w:val="en-US"/>
      </w:rPr>
      <w:t>7</w:t>
    </w:r>
    <w:r>
      <w:rPr>
        <w:lang w:val="en-US"/>
      </w:rPr>
      <w:t xml:space="preserve"> -</w:t>
    </w:r>
    <w:r>
      <w:rPr>
        <w:rStyle w:val="PageNumber"/>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17B" w:rsidRDefault="0074117B">
    <w:pPr>
      <w:pStyle w:val="Footer"/>
      <w:tabs>
        <w:tab w:val="clear" w:pos="8306"/>
        <w:tab w:val="right" w:pos="8931"/>
      </w:tabs>
      <w:ind w:right="-619"/>
      <w:rPr>
        <w:lang w:val="en-US"/>
      </w:rPr>
    </w:pPr>
    <w:r>
      <w:rPr>
        <w:lang w:val="en-US"/>
      </w:rPr>
      <w:tab/>
      <w:t>- B.4</w:t>
    </w:r>
    <w:r w:rsidR="00B23D53">
      <w:rPr>
        <w:lang w:val="en-US"/>
      </w:rPr>
      <w:t>8</w:t>
    </w:r>
    <w:r>
      <w:rPr>
        <w:lang w:val="en-US"/>
      </w:rPr>
      <w:t xml:space="preserve"> -</w:t>
    </w:r>
    <w:r>
      <w:rPr>
        <w:rStyle w:val="PageNumber"/>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F93" w:rsidRDefault="00BB1F93" w:rsidP="001720ED">
      <w:r>
        <w:separator/>
      </w:r>
    </w:p>
  </w:footnote>
  <w:footnote w:type="continuationSeparator" w:id="0">
    <w:p w:rsidR="00BB1F93" w:rsidRDefault="00BB1F93" w:rsidP="0017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17B" w:rsidRPr="0074117B" w:rsidRDefault="0074117B" w:rsidP="0074117B">
    <w:pPr>
      <w:pStyle w:val="Header"/>
      <w:tabs>
        <w:tab w:val="clear" w:pos="4153"/>
        <w:tab w:val="clear" w:pos="8306"/>
        <w:tab w:val="left" w:pos="6237"/>
        <w:tab w:val="right" w:pos="8931"/>
      </w:tabs>
      <w:rPr>
        <w:rFonts w:ascii="Arial" w:hAnsi="Arial" w:cs="Arial"/>
        <w:b/>
        <w:sz w:val="22"/>
        <w:szCs w:val="22"/>
      </w:rPr>
    </w:pPr>
    <w:r>
      <w:rPr>
        <w:rFonts w:ascii="Arial" w:hAnsi="Arial" w:cs="Arial"/>
        <w:b/>
        <w:sz w:val="22"/>
        <w:szCs w:val="22"/>
      </w:rPr>
      <w:tab/>
      <w:t>CANON XVII</w:t>
    </w:r>
    <w:r>
      <w:rPr>
        <w:rFonts w:ascii="Arial" w:hAnsi="Arial" w:cs="Arial"/>
        <w:b/>
        <w:sz w:val="22"/>
        <w:szCs w:val="22"/>
      </w:rPr>
      <w:tab/>
      <w:t>TITLE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53" w:rsidRDefault="00B2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3B5"/>
    <w:multiLevelType w:val="multilevel"/>
    <w:tmpl w:val="DF6CADC6"/>
    <w:lvl w:ilvl="0">
      <w:start w:val="4"/>
      <w:numFmt w:val="decimal"/>
      <w:lvlText w:val="%1"/>
      <w:lvlJc w:val="left"/>
      <w:pPr>
        <w:tabs>
          <w:tab w:val="num" w:pos="1260"/>
        </w:tabs>
        <w:ind w:left="1260" w:hanging="1260"/>
      </w:pPr>
      <w:rPr>
        <w:rFonts w:hint="default"/>
      </w:rPr>
    </w:lvl>
    <w:lvl w:ilvl="1">
      <w:start w:val="2"/>
      <w:numFmt w:val="decimal"/>
      <w:lvlText w:val="%1.%2"/>
      <w:lvlJc w:val="left"/>
      <w:pPr>
        <w:tabs>
          <w:tab w:val="num" w:pos="1710"/>
        </w:tabs>
        <w:ind w:left="1710" w:hanging="1260"/>
      </w:pPr>
      <w:rPr>
        <w:rFonts w:hint="default"/>
      </w:rPr>
    </w:lvl>
    <w:lvl w:ilvl="2">
      <w:start w:val="1"/>
      <w:numFmt w:val="decimal"/>
      <w:lvlText w:val="%1.%2.%3"/>
      <w:lvlJc w:val="left"/>
      <w:pPr>
        <w:tabs>
          <w:tab w:val="num" w:pos="2160"/>
        </w:tabs>
        <w:ind w:left="2160" w:hanging="1260"/>
      </w:pPr>
      <w:rPr>
        <w:rFonts w:hint="default"/>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 w15:restartNumberingAfterBreak="0">
    <w:nsid w:val="5D420674"/>
    <w:multiLevelType w:val="multilevel"/>
    <w:tmpl w:val="DF6CADC6"/>
    <w:lvl w:ilvl="0">
      <w:start w:val="4"/>
      <w:numFmt w:val="decimal"/>
      <w:lvlText w:val="%1"/>
      <w:lvlJc w:val="left"/>
      <w:pPr>
        <w:tabs>
          <w:tab w:val="num" w:pos="1260"/>
        </w:tabs>
        <w:ind w:left="1260" w:hanging="1260"/>
      </w:pPr>
      <w:rPr>
        <w:rFonts w:hint="default"/>
      </w:rPr>
    </w:lvl>
    <w:lvl w:ilvl="1">
      <w:start w:val="2"/>
      <w:numFmt w:val="decimal"/>
      <w:lvlText w:val="%1.%2"/>
      <w:lvlJc w:val="left"/>
      <w:pPr>
        <w:tabs>
          <w:tab w:val="num" w:pos="1710"/>
        </w:tabs>
        <w:ind w:left="1710" w:hanging="1260"/>
      </w:pPr>
      <w:rPr>
        <w:rFonts w:hint="default"/>
      </w:rPr>
    </w:lvl>
    <w:lvl w:ilvl="2">
      <w:start w:val="1"/>
      <w:numFmt w:val="decimal"/>
      <w:lvlText w:val="%1.%2.%3"/>
      <w:lvlJc w:val="left"/>
      <w:pPr>
        <w:tabs>
          <w:tab w:val="num" w:pos="2111"/>
        </w:tabs>
        <w:ind w:left="2111" w:hanging="1260"/>
      </w:pPr>
      <w:rPr>
        <w:rFonts w:hint="default"/>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ED"/>
    <w:rsid w:val="001720ED"/>
    <w:rsid w:val="001A627C"/>
    <w:rsid w:val="002C18D1"/>
    <w:rsid w:val="004A7636"/>
    <w:rsid w:val="0074117B"/>
    <w:rsid w:val="00A13F2A"/>
    <w:rsid w:val="00AE6C8A"/>
    <w:rsid w:val="00B23D53"/>
    <w:rsid w:val="00BB1F93"/>
    <w:rsid w:val="00DE50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A8E6B"/>
  <w15:chartTrackingRefBased/>
  <w15:docId w15:val="{4DA4A951-08FB-4394-842F-489ABFB5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20E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1720ED"/>
    <w:pPr>
      <w:keepNext/>
      <w:jc w:val="center"/>
      <w:outlineLvl w:val="0"/>
    </w:pPr>
    <w:rPr>
      <w:rFonts w:ascii="Arial Mäori" w:hAnsi="Arial Mäori"/>
      <w:b/>
      <w:spacing w:val="-3"/>
      <w:sz w:val="24"/>
      <w:u w:val="single"/>
      <w:lang w:val="en-US"/>
    </w:rPr>
  </w:style>
  <w:style w:type="paragraph" w:styleId="Heading4">
    <w:name w:val="heading 4"/>
    <w:basedOn w:val="Normal"/>
    <w:next w:val="Normal"/>
    <w:link w:val="Heading4Char"/>
    <w:qFormat/>
    <w:rsid w:val="001720ED"/>
    <w:pPr>
      <w:keepNext/>
      <w:outlineLvl w:val="3"/>
    </w:pPr>
    <w:rPr>
      <w:rFonts w:ascii="Arial Mäori" w:hAnsi="Arial Mäo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0ED"/>
    <w:rPr>
      <w:rFonts w:ascii="Arial Mäori" w:eastAsia="Times New Roman" w:hAnsi="Arial Mäori" w:cs="Times New Roman"/>
      <w:b/>
      <w:spacing w:val="-3"/>
      <w:sz w:val="24"/>
      <w:szCs w:val="20"/>
      <w:u w:val="single"/>
      <w:lang w:val="en-US"/>
    </w:rPr>
  </w:style>
  <w:style w:type="character" w:customStyle="1" w:styleId="Heading4Char">
    <w:name w:val="Heading 4 Char"/>
    <w:basedOn w:val="DefaultParagraphFont"/>
    <w:link w:val="Heading4"/>
    <w:rsid w:val="001720ED"/>
    <w:rPr>
      <w:rFonts w:ascii="Arial Mäori" w:eastAsia="Times New Roman" w:hAnsi="Arial Mäori" w:cs="Times New Roman"/>
      <w:i/>
      <w:iCs/>
      <w:sz w:val="20"/>
      <w:szCs w:val="20"/>
      <w:lang w:val="en-AU"/>
    </w:rPr>
  </w:style>
  <w:style w:type="paragraph" w:styleId="Header">
    <w:name w:val="header"/>
    <w:basedOn w:val="Normal"/>
    <w:link w:val="HeaderChar"/>
    <w:semiHidden/>
    <w:rsid w:val="001720ED"/>
    <w:pPr>
      <w:tabs>
        <w:tab w:val="center" w:pos="4153"/>
        <w:tab w:val="right" w:pos="8306"/>
      </w:tabs>
    </w:pPr>
  </w:style>
  <w:style w:type="character" w:customStyle="1" w:styleId="HeaderChar">
    <w:name w:val="Header Char"/>
    <w:basedOn w:val="DefaultParagraphFont"/>
    <w:link w:val="Header"/>
    <w:semiHidden/>
    <w:rsid w:val="001720ED"/>
    <w:rPr>
      <w:rFonts w:ascii="Times New Roman" w:eastAsia="Times New Roman" w:hAnsi="Times New Roman" w:cs="Times New Roman"/>
      <w:sz w:val="20"/>
      <w:szCs w:val="20"/>
      <w:lang w:val="en-AU"/>
    </w:rPr>
  </w:style>
  <w:style w:type="paragraph" w:styleId="Footer">
    <w:name w:val="footer"/>
    <w:basedOn w:val="Normal"/>
    <w:link w:val="FooterChar"/>
    <w:semiHidden/>
    <w:rsid w:val="001720ED"/>
    <w:pPr>
      <w:tabs>
        <w:tab w:val="center" w:pos="4153"/>
        <w:tab w:val="right" w:pos="8306"/>
      </w:tabs>
    </w:pPr>
  </w:style>
  <w:style w:type="character" w:customStyle="1" w:styleId="FooterChar">
    <w:name w:val="Footer Char"/>
    <w:basedOn w:val="DefaultParagraphFont"/>
    <w:link w:val="Footer"/>
    <w:semiHidden/>
    <w:rsid w:val="001720ED"/>
    <w:rPr>
      <w:rFonts w:ascii="Times New Roman" w:eastAsia="Times New Roman" w:hAnsi="Times New Roman" w:cs="Times New Roman"/>
      <w:sz w:val="20"/>
      <w:szCs w:val="20"/>
      <w:lang w:val="en-AU"/>
    </w:rPr>
  </w:style>
  <w:style w:type="character" w:styleId="PageNumber">
    <w:name w:val="page number"/>
    <w:basedOn w:val="DefaultParagraphFont"/>
    <w:semiHidden/>
    <w:rsid w:val="001720ED"/>
  </w:style>
  <w:style w:type="paragraph" w:styleId="BodyTextIndent">
    <w:name w:val="Body Text Indent"/>
    <w:basedOn w:val="Normal"/>
    <w:link w:val="BodyTextIndentChar"/>
    <w:semiHidden/>
    <w:rsid w:val="001720ED"/>
    <w:pPr>
      <w:widowControl w:val="0"/>
      <w:ind w:left="709" w:hanging="709"/>
    </w:pPr>
    <w:rPr>
      <w:sz w:val="24"/>
    </w:rPr>
  </w:style>
  <w:style w:type="character" w:customStyle="1" w:styleId="BodyTextIndentChar">
    <w:name w:val="Body Text Indent Char"/>
    <w:basedOn w:val="DefaultParagraphFont"/>
    <w:link w:val="BodyTextIndent"/>
    <w:semiHidden/>
    <w:rsid w:val="001720ED"/>
    <w:rPr>
      <w:rFonts w:ascii="Times New Roman" w:eastAsia="Times New Roman" w:hAnsi="Times New Roman" w:cs="Times New Roman"/>
      <w:sz w:val="24"/>
      <w:szCs w:val="20"/>
      <w:lang w:val="en-AU"/>
    </w:rPr>
  </w:style>
  <w:style w:type="paragraph" w:styleId="HTMLAddress">
    <w:name w:val="HTML Address"/>
    <w:basedOn w:val="Normal"/>
    <w:link w:val="HTMLAddressChar"/>
    <w:semiHidden/>
    <w:rsid w:val="001720ED"/>
    <w:rPr>
      <w:i/>
      <w:iCs/>
    </w:rPr>
  </w:style>
  <w:style w:type="character" w:customStyle="1" w:styleId="HTMLAddressChar">
    <w:name w:val="HTML Address Char"/>
    <w:basedOn w:val="DefaultParagraphFont"/>
    <w:link w:val="HTMLAddress"/>
    <w:semiHidden/>
    <w:rsid w:val="001720ED"/>
    <w:rPr>
      <w:rFonts w:ascii="Times New Roman" w:eastAsia="Times New Roman" w:hAnsi="Times New Roman" w:cs="Times New Roman"/>
      <w:i/>
      <w:iCs/>
      <w:sz w:val="20"/>
      <w:szCs w:val="20"/>
      <w:lang w:val="en-AU"/>
    </w:rPr>
  </w:style>
  <w:style w:type="paragraph" w:styleId="BalloonText">
    <w:name w:val="Balloon Text"/>
    <w:basedOn w:val="Normal"/>
    <w:link w:val="BalloonTextChar"/>
    <w:uiPriority w:val="99"/>
    <w:semiHidden/>
    <w:unhideWhenUsed/>
    <w:rsid w:val="001A6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27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02537-B388-4E1F-A7E1-2DDF59544D21}">
  <ds:schemaRefs>
    <ds:schemaRef ds:uri="http://schemas.microsoft.com/sharepoint/v3/contenttype/forms"/>
  </ds:schemaRefs>
</ds:datastoreItem>
</file>

<file path=customXml/itemProps2.xml><?xml version="1.0" encoding="utf-8"?>
<ds:datastoreItem xmlns:ds="http://schemas.openxmlformats.org/officeDocument/2006/customXml" ds:itemID="{D81D8CB2-C005-4899-BEB2-B93AD265EAE3}">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6143B286-194E-44E5-947F-797D539AD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Canons 2016 Update B47</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B47</dc:title>
  <dc:subject/>
  <dc:creator>Marissa Alix</dc:creator>
  <cp:keywords/>
  <dc:description/>
  <cp:lastModifiedBy>Marissa Alix</cp:lastModifiedBy>
  <cp:revision>2</cp:revision>
  <cp:lastPrinted>2014-02-20T23:59:00Z</cp:lastPrinted>
  <dcterms:created xsi:type="dcterms:W3CDTF">2017-04-27T03:57:00Z</dcterms:created>
  <dcterms:modified xsi:type="dcterms:W3CDTF">2017-04-27T03:57:00Z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